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D6CC2" w:rsidP="002D6CC2">
      <w:pPr>
        <w:jc w:val="right"/>
      </w:pPr>
      <w:r>
        <w:t xml:space="preserve">Warszawa, </w:t>
      </w:r>
      <w:bookmarkStart w:id="0" w:name="ezdDataPodpisu"/>
      <w:r>
        <w:t>05 października 2017</w:t>
      </w:r>
      <w:bookmarkEnd w:id="0"/>
      <w:r>
        <w:t xml:space="preserve"> r.</w:t>
      </w:r>
    </w:p>
    <w:p w:rsidR="002D6CC2" w:rsidP="002D6CC2">
      <w:pPr>
        <w:pStyle w:val="menfont"/>
      </w:pPr>
      <w:bookmarkStart w:id="1" w:name="ezdSprawaZnak"/>
      <w:r>
        <w:t>DWKI-WSPE.515.64.2017</w:t>
      </w:r>
      <w:bookmarkEnd w:id="1"/>
      <w:r>
        <w:t>.</w:t>
      </w:r>
      <w:bookmarkStart w:id="2" w:name="ezdAutorInicjaly"/>
      <w:r>
        <w:t>KT</w:t>
      </w:r>
      <w:bookmarkEnd w:id="2"/>
    </w:p>
    <w:p w:rsidR="001E5638" w:rsidP="006B65F2">
      <w:pPr>
        <w:pStyle w:val="menfont"/>
        <w:spacing w:after="120" w:line="23" w:lineRule="atLeast"/>
        <w:jc w:val="both"/>
      </w:pPr>
    </w:p>
    <w:p w:rsidR="00647C80" w:rsidP="006B65F2">
      <w:pPr>
        <w:pStyle w:val="menfont"/>
        <w:spacing w:after="120" w:line="23" w:lineRule="atLeast"/>
        <w:jc w:val="both"/>
      </w:pPr>
    </w:p>
    <w:p w:rsidR="00BD2C44" w:rsidP="006B65F2">
      <w:pPr>
        <w:pStyle w:val="menfont"/>
        <w:spacing w:after="120" w:line="23" w:lineRule="atLeast"/>
        <w:jc w:val="both"/>
      </w:pPr>
      <w:r>
        <w:t>Kuratorzy Oświaty</w:t>
      </w:r>
    </w:p>
    <w:p w:rsidR="00872095" w:rsidP="006B65F2">
      <w:pPr>
        <w:pStyle w:val="menfont"/>
        <w:spacing w:after="120" w:line="23" w:lineRule="atLeast"/>
        <w:jc w:val="both"/>
      </w:pPr>
      <w:r>
        <w:t xml:space="preserve">- </w:t>
      </w:r>
      <w:bookmarkStart w:id="3" w:name="_GoBack"/>
      <w:bookmarkEnd w:id="3"/>
      <w:r>
        <w:t>wszyscy</w:t>
      </w:r>
    </w:p>
    <w:p w:rsidR="00872095" w:rsidP="006B65F2">
      <w:pPr>
        <w:pStyle w:val="menfont"/>
        <w:spacing w:after="120" w:line="23" w:lineRule="atLeast"/>
        <w:jc w:val="both"/>
      </w:pPr>
    </w:p>
    <w:p w:rsidR="00BD2C44" w:rsidRPr="00872095" w:rsidP="006B65F2">
      <w:pPr>
        <w:pStyle w:val="menfont"/>
        <w:spacing w:after="120" w:line="23" w:lineRule="atLeast"/>
        <w:jc w:val="both"/>
        <w:rPr>
          <w:i/>
        </w:rPr>
      </w:pPr>
      <w:r w:rsidRPr="00872095">
        <w:rPr>
          <w:i/>
        </w:rPr>
        <w:t>Szanowni Państwo Kuratorzy,</w:t>
      </w:r>
    </w:p>
    <w:p w:rsidR="00872095" w:rsidP="006B65F2">
      <w:pPr>
        <w:pStyle w:val="menfont"/>
        <w:spacing w:after="120" w:line="23" w:lineRule="atLeast"/>
        <w:jc w:val="both"/>
      </w:pPr>
      <w:r>
        <w:t xml:space="preserve">w związku ze zmianami dotyczącymi organizacji kształcenia i wsparcia uczniów ze specjalnymi potrzebami edukacyjnymi, wynikającymi przede wszystkim </w:t>
      </w:r>
      <w:r>
        <w:br/>
        <w:t xml:space="preserve">z przepisów rozporządzeń Ministra Edukacji Narodowej z dnia 9 sierpnia </w:t>
      </w:r>
      <w:r>
        <w:br/>
        <w:t>2017 r. w sprawie:</w:t>
      </w:r>
    </w:p>
    <w:p w:rsidR="00872095" w:rsidP="006B65F2">
      <w:pPr>
        <w:pStyle w:val="menfont"/>
        <w:numPr>
          <w:ilvl w:val="0"/>
          <w:numId w:val="2"/>
        </w:numPr>
        <w:spacing w:after="120" w:line="23" w:lineRule="atLeast"/>
        <w:jc w:val="both"/>
      </w:pPr>
      <w:r>
        <w:t xml:space="preserve">indywidualnego obowiązkowego rocznego przygotowania przedszkolnego dzieci i indywidualnego nauczania dzieci i młodzieży (Dz. U. poz. 1616), </w:t>
      </w:r>
    </w:p>
    <w:p w:rsidR="00872095" w:rsidP="006B65F2">
      <w:pPr>
        <w:pStyle w:val="menfont"/>
        <w:numPr>
          <w:ilvl w:val="0"/>
          <w:numId w:val="2"/>
        </w:numPr>
        <w:spacing w:after="120" w:line="23" w:lineRule="atLeast"/>
        <w:jc w:val="both"/>
      </w:pPr>
      <w:r>
        <w:t xml:space="preserve">zasad organizacji i udzielania pomocy psychologiczno-pedagogicznej </w:t>
      </w:r>
      <w:r>
        <w:br/>
        <w:t xml:space="preserve">w publicznych przedszkolach, szkołach </w:t>
      </w:r>
      <w:r w:rsidR="001E5638">
        <w:t>i placówkach (Dz. U. poz. 1591),</w:t>
      </w:r>
    </w:p>
    <w:p w:rsidR="00872095" w:rsidP="00B6127F">
      <w:pPr>
        <w:pStyle w:val="menfont"/>
        <w:numPr>
          <w:ilvl w:val="0"/>
          <w:numId w:val="1"/>
        </w:numPr>
        <w:spacing w:after="120" w:line="23" w:lineRule="atLeast"/>
        <w:jc w:val="both"/>
      </w:pPr>
      <w:r>
        <w:t xml:space="preserve">warunków organizowania kształcenia, wychowania i opieki dla dzieci </w:t>
      </w:r>
      <w:r>
        <w:br/>
        <w:t xml:space="preserve">i młodzieży niepełnosprawnych, niedostosowanych społecznie </w:t>
      </w:r>
      <w:r>
        <w:br/>
        <w:t>i zagrożonych niedostosowaniem społecznym (Dz. U. p</w:t>
      </w:r>
      <w:r w:rsidR="001E5638">
        <w:t>oz. 1578),</w:t>
      </w:r>
      <w:r>
        <w:t xml:space="preserve"> </w:t>
      </w:r>
    </w:p>
    <w:p w:rsidR="00872095" w:rsidP="00B6127F">
      <w:pPr>
        <w:pStyle w:val="menfont"/>
        <w:spacing w:after="120" w:line="23" w:lineRule="atLeast"/>
        <w:jc w:val="both"/>
      </w:pPr>
      <w:r>
        <w:t>zwracam się z uprzejmą prośbą o wzmocnienie nadzoru pedagogicznego nad poradniami psychologiczno-pedagogicznymi.</w:t>
      </w:r>
    </w:p>
    <w:p w:rsidR="00872095" w:rsidP="00B6127F">
      <w:pPr>
        <w:pStyle w:val="menfont"/>
        <w:spacing w:after="120" w:line="23" w:lineRule="atLeast"/>
        <w:jc w:val="both"/>
      </w:pPr>
      <w:r>
        <w:t xml:space="preserve">Z licznych telefonów kierowanych do Ministerstwa Edukacji Narodowej wynika, że poradnie psychologiczno-pedagogiczne nie udzielają rodzicom kompletnych informacji </w:t>
      </w:r>
      <w:r w:rsidR="008D7076">
        <w:t xml:space="preserve">dotyczących </w:t>
      </w:r>
      <w:r w:rsidR="00AC1A57">
        <w:t>możliwych form wsparcia dla ich dzieci</w:t>
      </w:r>
      <w:r w:rsidR="001E5638">
        <w:t xml:space="preserve"> w przedszkolu, szkole i placówce</w:t>
      </w:r>
      <w:r w:rsidR="00AC1A57">
        <w:t>.</w:t>
      </w:r>
      <w:r w:rsidR="001E5638">
        <w:t xml:space="preserve"> </w:t>
      </w:r>
      <w:r w:rsidR="00AC1A57">
        <w:t>W</w:t>
      </w:r>
      <w:r>
        <w:t xml:space="preserve"> szczególności </w:t>
      </w:r>
      <w:r w:rsidR="00AC1A57">
        <w:t xml:space="preserve">dotyczy to </w:t>
      </w:r>
      <w:r>
        <w:t>rodzic</w:t>
      </w:r>
      <w:r w:rsidR="00AC1A57">
        <w:t>ów</w:t>
      </w:r>
      <w:r>
        <w:t xml:space="preserve"> wnioskujący</w:t>
      </w:r>
      <w:r w:rsidR="00AC1A57">
        <w:t xml:space="preserve">ch </w:t>
      </w:r>
      <w:r>
        <w:t xml:space="preserve"> </w:t>
      </w:r>
      <w:r w:rsidR="001E5638">
        <w:br/>
      </w:r>
      <w:r>
        <w:t>o wydawanie orzecze</w:t>
      </w:r>
      <w:r w:rsidR="00AC1A57">
        <w:t>nia</w:t>
      </w:r>
      <w:r>
        <w:t xml:space="preserve"> o potrzebie indywidualnego nauczania. </w:t>
      </w:r>
    </w:p>
    <w:p w:rsidR="00364904" w:rsidP="00B6127F">
      <w:pPr>
        <w:pStyle w:val="menfont"/>
        <w:spacing w:after="120" w:line="23" w:lineRule="atLeast"/>
        <w:jc w:val="both"/>
      </w:pPr>
      <w:r>
        <w:t>Rodzice powinni uzyskać m.in. informacje:</w:t>
      </w:r>
    </w:p>
    <w:p w:rsidR="00364904" w:rsidP="00B6127F">
      <w:pPr>
        <w:pStyle w:val="menfont"/>
        <w:numPr>
          <w:ilvl w:val="0"/>
          <w:numId w:val="3"/>
        </w:numPr>
        <w:spacing w:after="120" w:line="23" w:lineRule="atLeast"/>
        <w:jc w:val="both"/>
      </w:pPr>
      <w:r>
        <w:t>N</w:t>
      </w:r>
      <w:r>
        <w:t xml:space="preserve">iepełnosprawność </w:t>
      </w:r>
      <w:r w:rsidR="008D7076">
        <w:t>ucznia</w:t>
      </w:r>
      <w:r>
        <w:t xml:space="preserve"> nie jest powodem do obejmowania go indywidualnym nauczaniem</w:t>
      </w:r>
      <w:r>
        <w:t>.</w:t>
      </w:r>
    </w:p>
    <w:p w:rsidR="00364904" w:rsidP="00B6127F">
      <w:pPr>
        <w:pStyle w:val="menfont"/>
        <w:numPr>
          <w:ilvl w:val="0"/>
          <w:numId w:val="3"/>
        </w:numPr>
        <w:spacing w:after="120" w:line="23" w:lineRule="atLeast"/>
        <w:jc w:val="both"/>
      </w:pPr>
      <w:r>
        <w:t>U</w:t>
      </w:r>
      <w:r w:rsidR="008D7076">
        <w:t xml:space="preserve">czeń posiadający orzeczenie o potrzebie kształcenia specjalnego może mieć prowadzone </w:t>
      </w:r>
      <w:r w:rsidRPr="008D7076" w:rsidR="008D7076">
        <w:rPr>
          <w:u w:val="single"/>
        </w:rPr>
        <w:t>indywidualne zajęcia w szko</w:t>
      </w:r>
      <w:r w:rsidR="008D7076">
        <w:t>le, na podstawie indywidualnego programu edukacyjno-terapeutycznego</w:t>
      </w:r>
      <w:r>
        <w:rPr>
          <w:rStyle w:val="FootnoteReference"/>
        </w:rPr>
        <w:footnoteReference w:id="2"/>
      </w:r>
      <w:r w:rsidR="00F93B6D">
        <w:t>.</w:t>
      </w:r>
    </w:p>
    <w:p w:rsidR="008D7076" w:rsidP="00B6127F">
      <w:pPr>
        <w:pStyle w:val="menfont"/>
        <w:numPr>
          <w:ilvl w:val="0"/>
          <w:numId w:val="3"/>
        </w:numPr>
        <w:spacing w:after="120" w:line="23" w:lineRule="atLeast"/>
        <w:jc w:val="both"/>
      </w:pPr>
      <w:r>
        <w:t xml:space="preserve">Uczeń, który </w:t>
      </w:r>
      <w:r w:rsidR="00E953FB">
        <w:t xml:space="preserve">może uczęszczać do szkoły, ale </w:t>
      </w:r>
      <w:r>
        <w:t xml:space="preserve">ze względu na trudności </w:t>
      </w:r>
      <w:r w:rsidR="00E953FB">
        <w:br/>
      </w:r>
      <w:r>
        <w:t xml:space="preserve">w funkcjonowaniu wynikające w szczególności ze stanu zdrowia nie może realizować wszystkich zajęć wychowania przedszkolnego lub zajęć </w:t>
      </w:r>
      <w:r>
        <w:t xml:space="preserve">edukacyjnych wspólnie z oddziałem przedszkolnym lub szkolnym </w:t>
      </w:r>
      <w:r w:rsidR="00E953FB">
        <w:br/>
      </w:r>
      <w:r w:rsidR="00DB6831">
        <w:t>i wymaga</w:t>
      </w:r>
      <w:r>
        <w:t xml:space="preserve"> dostosowania organizacji i procesu nauczania do </w:t>
      </w:r>
      <w:r w:rsidR="004D405C">
        <w:t xml:space="preserve">jego </w:t>
      </w:r>
      <w:r>
        <w:t xml:space="preserve">specjalnych potrzeb edukacyjnych może zostać objęty </w:t>
      </w:r>
      <w:r w:rsidR="00F93B6D">
        <w:t>zindywidualizowaną</w:t>
      </w:r>
      <w:r>
        <w:t xml:space="preserve"> ścieżką </w:t>
      </w:r>
      <w:r w:rsidR="00F93B6D">
        <w:t>kształcenia</w:t>
      </w:r>
      <w:r>
        <w:rPr>
          <w:rStyle w:val="FootnoteReference"/>
        </w:rPr>
        <w:footnoteReference w:id="3"/>
      </w:r>
      <w:r w:rsidR="00F93B6D">
        <w:t>.</w:t>
      </w:r>
      <w:r w:rsidR="00E953FB">
        <w:t xml:space="preserve"> </w:t>
      </w:r>
      <w:r w:rsidRPr="00050F54" w:rsidR="00E953FB">
        <w:rPr>
          <w:u w:val="single"/>
        </w:rPr>
        <w:t>O wydanie opinii w tej sprawie rodzice wnioskują do publicznej poradni psychologiczno-pedagogicznej</w:t>
      </w:r>
      <w:r w:rsidR="00E953FB">
        <w:t>.</w:t>
      </w:r>
      <w:r>
        <w:t xml:space="preserve"> </w:t>
      </w:r>
    </w:p>
    <w:p w:rsidR="00392896" w:rsidP="00360988">
      <w:pPr>
        <w:pStyle w:val="menfont"/>
        <w:numPr>
          <w:ilvl w:val="0"/>
          <w:numId w:val="3"/>
        </w:numPr>
        <w:spacing w:after="120" w:line="23" w:lineRule="atLeast"/>
        <w:jc w:val="both"/>
      </w:pPr>
      <w:r>
        <w:t>Zajęcia indywidualnego nauczania organizowane są w domu ucznia.</w:t>
      </w:r>
      <w:r w:rsidR="00360988">
        <w:t xml:space="preserve"> </w:t>
      </w:r>
      <w:r w:rsidR="001E5638">
        <w:t xml:space="preserve"> M</w:t>
      </w:r>
      <w:r w:rsidRPr="001E5638" w:rsidR="001E5638">
        <w:t>łodzieżowe ośrodki wychowawcze, młodzieżowe ośrodki socjoterapii, specjalne ośrodki szkolno-wychowawcze oraz specjalne ośrodki wychowawcze</w:t>
      </w:r>
      <w:r w:rsidR="001E5638">
        <w:t xml:space="preserve"> nie są miejscem pobytu dziecka</w:t>
      </w:r>
      <w:r>
        <w:rPr>
          <w:rStyle w:val="FootnoteReference"/>
        </w:rPr>
        <w:footnoteReference w:id="4"/>
      </w:r>
      <w:r>
        <w:t>, ale miejscem, w którym dzieci i młodzież realizują obowiązek szkolny/nauki.</w:t>
      </w:r>
    </w:p>
    <w:p w:rsidR="00360988" w:rsidP="00360988">
      <w:pPr>
        <w:pStyle w:val="menfont"/>
        <w:numPr>
          <w:ilvl w:val="0"/>
          <w:numId w:val="3"/>
        </w:numPr>
        <w:spacing w:after="120" w:line="23" w:lineRule="atLeast"/>
        <w:jc w:val="both"/>
      </w:pPr>
      <w:r>
        <w:t xml:space="preserve">W indywidualnym nauczaniu realizuje się </w:t>
      </w:r>
      <w:r w:rsidRPr="00360988">
        <w:rPr>
          <w:u w:val="single"/>
        </w:rPr>
        <w:t>wszystkie</w:t>
      </w:r>
      <w:r>
        <w:t xml:space="preserve"> obowiązkowe zajęcia edukacyjne wynikające z ramowego planu nauczania danego typu </w:t>
      </w:r>
      <w:r>
        <w:br/>
        <w:t>i rodzaju szkoły, dostosowane do potrzeb rozwojowych i edukacyjnych oraz możliwości psychofizycznych ucznia.</w:t>
      </w:r>
      <w:r w:rsidRPr="00360988">
        <w:t xml:space="preserve"> </w:t>
      </w:r>
      <w:r>
        <w:t>W przypadku ucznia szkoły ponadpodstawowej prowadzącej kształcenie zawodowe</w:t>
      </w:r>
      <w:r w:rsidR="004D405C">
        <w:t>,</w:t>
      </w:r>
      <w:r>
        <w:t xml:space="preserve"> dyrektor szkoły określa sposób realizacji zajęć prowadzonych w ramach praktycznej nauki zawodu.</w:t>
      </w:r>
    </w:p>
    <w:p w:rsidR="00392896" w:rsidP="00B6127F">
      <w:pPr>
        <w:spacing w:after="120" w:line="23" w:lineRule="atLeast"/>
        <w:jc w:val="both"/>
        <w:rPr>
          <w:rFonts w:eastAsia="Calibri"/>
        </w:rPr>
      </w:pPr>
      <w:r>
        <w:rPr>
          <w:rFonts w:eastAsia="Calibri"/>
        </w:rPr>
        <w:t>Wiele pytań dotyczy także ważności orzeczeń. Zgodnie z art. 312 ust. 1 ustawy z dnia 14 grudnia 2016 r. – Przepisy wprowadzające ustawę – Prawo oświatowe</w:t>
      </w:r>
      <w:r>
        <w:rPr>
          <w:rStyle w:val="FootnoteReference"/>
          <w:rFonts w:eastAsia="Calibri"/>
        </w:rPr>
        <w:footnoteReference w:id="5"/>
      </w:r>
      <w:r>
        <w:rPr>
          <w:rFonts w:eastAsia="Calibri"/>
        </w:rPr>
        <w:t xml:space="preserve"> wszystkie orzeczenia wydane przez zespoły orzekające działające w publicznych poradniach psychologiczno-pedagogicznych przed 1 września 2017 r. zachowują ważność na okres, na jaki zostały wydane.</w:t>
      </w:r>
    </w:p>
    <w:p w:rsidR="00392896" w:rsidP="00B6127F">
      <w:pPr>
        <w:spacing w:after="120" w:line="23" w:lineRule="atLeast"/>
        <w:jc w:val="both"/>
        <w:rPr>
          <w:rFonts w:eastAsia="Calibri"/>
        </w:rPr>
      </w:pPr>
      <w:r>
        <w:rPr>
          <w:rFonts w:eastAsia="Calibri"/>
        </w:rPr>
        <w:t>Wyjątek od ww. zasady stanowią wyłącznie orzeczenia, o których mowa w art. 312 ust. 2 i 3 ww. ustawy. W przypadku orzeczeń o potrzebie kształcenia specjalnego są to orzeczenia wydane przed 1 września 2017 r. na okres I lub II etapu edukacyjnego</w:t>
      </w:r>
      <w:r>
        <w:rPr>
          <w:rStyle w:val="FootnoteReference"/>
          <w:rFonts w:eastAsia="Calibri"/>
        </w:rPr>
        <w:footnoteReference w:id="6"/>
      </w:r>
      <w:r>
        <w:rPr>
          <w:rFonts w:eastAsia="Calibri"/>
        </w:rPr>
        <w:t>.</w:t>
      </w:r>
    </w:p>
    <w:p w:rsidR="00392896" w:rsidP="00B6127F">
      <w:pPr>
        <w:spacing w:after="120" w:line="23" w:lineRule="atLeast"/>
        <w:jc w:val="both"/>
        <w:rPr>
          <w:rFonts w:eastAsia="Calibri"/>
        </w:rPr>
      </w:pPr>
      <w:r>
        <w:rPr>
          <w:rFonts w:eastAsia="Calibri"/>
        </w:rPr>
        <w:t>Ważność ww. orzeczeń</w:t>
      </w:r>
      <w:r>
        <w:t xml:space="preserve"> </w:t>
      </w:r>
      <w:r>
        <w:rPr>
          <w:rFonts w:eastAsia="Calibri"/>
        </w:rPr>
        <w:t xml:space="preserve">o potrzebie kształcenia specjalnego została wydłużona do czasu zakończenia kształcenia odpowiednio: </w:t>
      </w:r>
    </w:p>
    <w:p w:rsidR="00392896" w:rsidP="00B6127F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Calibri"/>
        </w:rPr>
      </w:pPr>
      <w:r>
        <w:rPr>
          <w:rFonts w:eastAsia="Calibri"/>
        </w:rPr>
        <w:t xml:space="preserve">w klasie IV szkoły podstawowej – w przypadku orzeczeń wydanych </w:t>
      </w:r>
      <w:r>
        <w:rPr>
          <w:rFonts w:eastAsia="Calibri"/>
        </w:rPr>
        <w:br/>
        <w:t xml:space="preserve">na okres I etapu edukacyjnego; </w:t>
      </w:r>
    </w:p>
    <w:p w:rsidR="00392896" w:rsidP="00B6127F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Calibri"/>
        </w:rPr>
      </w:pPr>
      <w:r>
        <w:rPr>
          <w:rFonts w:eastAsia="Calibri"/>
        </w:rPr>
        <w:t xml:space="preserve">w szkole podstawowej – w przypadku orzeczeń wydanych na okres </w:t>
      </w:r>
      <w:r>
        <w:rPr>
          <w:rFonts w:eastAsia="Calibri"/>
        </w:rPr>
        <w:br/>
        <w:t>II etapu edukacyjnego.</w:t>
      </w:r>
    </w:p>
    <w:p w:rsidR="00392896" w:rsidP="00B6127F">
      <w:pPr>
        <w:spacing w:after="120" w:line="23" w:lineRule="atLeast"/>
        <w:jc w:val="both"/>
      </w:pPr>
      <w:r>
        <w:t>Zgodnie z przepisami</w:t>
      </w:r>
      <w:r w:rsidR="004D405C">
        <w:t xml:space="preserve"> rozporządzenia</w:t>
      </w:r>
      <w:r w:rsidR="00BE03D6">
        <w:t xml:space="preserve"> Ministra Edukacji Narodowej z dnia </w:t>
      </w:r>
      <w:r w:rsidR="00BE03D6">
        <w:br/>
        <w:t>18 września 2008 r. w sprawie orzeczeń i opinii wydawanych przez zespoły orzekające działające w publicznych poradniach psychologiczno-</w:t>
      </w:r>
      <w:r w:rsidR="00BE03D6">
        <w:t>pedagogicznych</w:t>
      </w:r>
      <w:r>
        <w:rPr>
          <w:rStyle w:val="FootnoteReference"/>
        </w:rPr>
        <w:footnoteReference w:id="7"/>
      </w:r>
      <w:r w:rsidR="004D405C">
        <w:t>,</w:t>
      </w:r>
      <w:r>
        <w:t xml:space="preserve"> orzeczenia o potrzebie kształcenia specjalnego </w:t>
      </w:r>
      <w:r w:rsidR="00BE03D6">
        <w:t>wydawane były</w:t>
      </w:r>
      <w:r>
        <w:t xml:space="preserve"> na okres roku szkolnego, etapu edukacyjnego albo okres kształcenia w danej szkole, z wyjątkiem uczniów z niepełnosprawnością intelektualną w stopniu lekkim, dla których orzeczenia o potrzebie kształcenia specjalnego wydaje się na okres każdego etapu edukacyjnego. Z orzeczenia winno zatem wprost wynikać, że wydane jest ono na okres roku szkolnego, okres I lub II etapu edukacyjnego albo okres kształcenia w danej szkole. </w:t>
      </w:r>
    </w:p>
    <w:p w:rsidR="00392896" w:rsidP="00B6127F">
      <w:pPr>
        <w:spacing w:after="120" w:line="23" w:lineRule="atLeast"/>
        <w:jc w:val="both"/>
      </w:pPr>
      <w:r>
        <w:t xml:space="preserve">Z informacji wpływających do </w:t>
      </w:r>
      <w:r w:rsidR="00DB6831">
        <w:t>Ministerstwa Edukacji Narodowej</w:t>
      </w:r>
      <w:r>
        <w:t xml:space="preserve"> wynika, </w:t>
      </w:r>
      <w:r w:rsidR="00BE03D6">
        <w:br/>
      </w:r>
      <w:r>
        <w:t xml:space="preserve">że zespoły orzekające często używały dla określenia czasu na jaki wydaje się orzeczenie innych niż podane wyżej, bliskoznacznych sformułowań, zwłaszcza dla oznaczenia okresu I lub II etapu edukacyjnego. W praktyce może </w:t>
      </w:r>
      <w:r w:rsidR="00BE03D6">
        <w:br/>
      </w:r>
      <w:r>
        <w:t xml:space="preserve">to powodować wątpliwości w związku z brzmieniem przepisów przejściowych zawartych w art. 312 ww. ustawy, które posługują się wyłącznie wyrażeniem </w:t>
      </w:r>
      <w:r w:rsidR="00BE03D6">
        <w:br/>
      </w:r>
      <w:r>
        <w:t xml:space="preserve">„I etap edukacyjny” i „II etap edukacyjny”. </w:t>
      </w:r>
    </w:p>
    <w:p w:rsidR="00392896" w:rsidP="00B6127F">
      <w:pPr>
        <w:spacing w:after="120" w:line="23" w:lineRule="atLeast"/>
        <w:jc w:val="both"/>
      </w:pPr>
      <w:r>
        <w:t>Należy zauważyć, że wyrażenie „I etap edukacyjny” i „II etap edukacyjny” oznacza</w:t>
      </w:r>
      <w:r w:rsidR="00BE03D6">
        <w:t>ł</w:t>
      </w:r>
      <w:r>
        <w:t>, zgodnie z podstawą programową kształcenia ogólnego dla szkół podstawowych, odpowiedni okres nauki w szkole podstawowej, tj</w:t>
      </w:r>
      <w:r w:rsidR="004D405C">
        <w:t>.</w:t>
      </w:r>
      <w:r>
        <w:t>: I etap edukacyjny oznacza okres nauki w klas</w:t>
      </w:r>
      <w:r w:rsidR="004D405C">
        <w:t>ach</w:t>
      </w:r>
      <w:r>
        <w:t xml:space="preserve"> I–III szkoły podstawowej (etap ten określany jest również jako edukacja wczesnoszkolna), natomiast II etap edukacyjny oznacza</w:t>
      </w:r>
      <w:r w:rsidR="00BE03D6">
        <w:t>ł</w:t>
      </w:r>
      <w:r>
        <w:t xml:space="preserve"> okres nauki w klas</w:t>
      </w:r>
      <w:r w:rsidR="004D405C">
        <w:t>ach</w:t>
      </w:r>
      <w:r>
        <w:t xml:space="preserve"> IV–VI szkoły podstawowej </w:t>
      </w:r>
      <w:r>
        <w:br/>
        <w:t>(od 1 września 2017 r. w klas</w:t>
      </w:r>
      <w:r w:rsidR="004D405C">
        <w:t>ach</w:t>
      </w:r>
      <w:r>
        <w:t xml:space="preserve"> IV–VIII szkoły podstawowej). </w:t>
      </w:r>
    </w:p>
    <w:p w:rsidR="00392896" w:rsidP="00B6127F">
      <w:pPr>
        <w:spacing w:after="120" w:line="23" w:lineRule="atLeast"/>
        <w:jc w:val="both"/>
      </w:pPr>
      <w:r>
        <w:t>Mając na uwadze powyższe, a także w szczególności uwzględniając dobro uczniów i ich rodziców, w opinii Ministerstwa Edukacji Narodowej, orzeczenia o potrzebie kształcenia specjalnego wydane przed 1 września 2017 r., w których okres, na jaki wydano orzeczenie, został oznaczony  jako:</w:t>
      </w:r>
    </w:p>
    <w:p w:rsidR="00392896" w:rsidP="00B6127F">
      <w:pPr>
        <w:pStyle w:val="ListParagraph"/>
        <w:numPr>
          <w:ilvl w:val="0"/>
          <w:numId w:val="5"/>
        </w:numPr>
        <w:spacing w:after="120" w:line="23" w:lineRule="atLeast"/>
        <w:jc w:val="both"/>
      </w:pPr>
      <w:r w:rsidRPr="00BE03D6">
        <w:rPr>
          <w:i/>
        </w:rPr>
        <w:t>„czas nauki w klasie I–III szkoły podstawowej”</w:t>
      </w:r>
      <w:r>
        <w:t xml:space="preserve">, </w:t>
      </w:r>
      <w:r w:rsidRPr="00BE03D6">
        <w:rPr>
          <w:i/>
        </w:rPr>
        <w:t>„okres obejmujący klasy I–III szkoły podstawowej”</w:t>
      </w:r>
      <w:r>
        <w:t xml:space="preserve">, </w:t>
      </w:r>
      <w:r w:rsidRPr="00BE03D6">
        <w:rPr>
          <w:i/>
        </w:rPr>
        <w:t>„okres edukacji wczesnoszkolnej”</w:t>
      </w:r>
      <w:r>
        <w:t xml:space="preserve">, itp. – należy traktować jako orzeczenia wydane na okres I etapu edukacyjnego i w związku z tym zachowują one ważność do czasu zakończenia kształcenia w klasie IV szkoły podstawowej; </w:t>
      </w:r>
    </w:p>
    <w:p w:rsidR="00392896" w:rsidP="00B6127F">
      <w:pPr>
        <w:pStyle w:val="ListParagraph"/>
        <w:numPr>
          <w:ilvl w:val="0"/>
          <w:numId w:val="5"/>
        </w:numPr>
        <w:spacing w:after="120" w:line="23" w:lineRule="atLeast"/>
        <w:jc w:val="both"/>
      </w:pPr>
      <w:r>
        <w:t>„</w:t>
      </w:r>
      <w:r w:rsidRPr="00BE03D6">
        <w:rPr>
          <w:i/>
        </w:rPr>
        <w:t>czas nauki w klasie IV–VI szkoły podstawowej”</w:t>
      </w:r>
      <w:r>
        <w:t xml:space="preserve">, </w:t>
      </w:r>
      <w:r w:rsidRPr="00BE03D6">
        <w:rPr>
          <w:i/>
        </w:rPr>
        <w:t>„okres obejmujący klasy IV–VI szkoły podstawowej”</w:t>
      </w:r>
      <w:r>
        <w:t>, itp. – należy traktować jako orzeczenia wydane na okres II etapu edukacyjnego i w związku z tym zachowują one ważność do czasu zakończenia kształcenia w szkole podstawowej;</w:t>
      </w:r>
    </w:p>
    <w:p w:rsidR="00392896" w:rsidP="00B6127F">
      <w:pPr>
        <w:pStyle w:val="ListParagraph"/>
        <w:numPr>
          <w:ilvl w:val="0"/>
          <w:numId w:val="5"/>
        </w:numPr>
        <w:spacing w:after="120" w:line="23" w:lineRule="atLeast"/>
        <w:jc w:val="both"/>
      </w:pPr>
      <w:r w:rsidRPr="00BE03D6">
        <w:rPr>
          <w:i/>
        </w:rPr>
        <w:t>„czas nauki w klasie I–VI szkoły podstawowej”</w:t>
      </w:r>
      <w:r>
        <w:t xml:space="preserve">, </w:t>
      </w:r>
      <w:r w:rsidRPr="00BE03D6">
        <w:rPr>
          <w:i/>
        </w:rPr>
        <w:t>„okres obejmujący klasy I–VI szkoły podstawowej”</w:t>
      </w:r>
      <w:r>
        <w:t xml:space="preserve">, itp. – należy traktować jako wydane na okres kształcenia w szkole podstawowej i w związku z tym zachowują one ważność do czasu zakończenia kształcenia w ośmioletniej szkole podstawowej. </w:t>
      </w:r>
    </w:p>
    <w:p w:rsidR="00392896" w:rsidP="00B6127F">
      <w:pPr>
        <w:pStyle w:val="menfont"/>
        <w:spacing w:after="120" w:line="23" w:lineRule="atLeast"/>
        <w:jc w:val="both"/>
      </w:pPr>
      <w:r>
        <w:t xml:space="preserve">Natomiast uczniowie gimnazjów posiadających orzeczenie o potrzebie kształcenia specjalnego na okres nauki w </w:t>
      </w:r>
      <w:r w:rsidR="004D405C">
        <w:t>g</w:t>
      </w:r>
      <w:r>
        <w:t xml:space="preserve">imnazjum, którzy nie otrzymali </w:t>
      </w:r>
      <w:r>
        <w:br/>
        <w:t xml:space="preserve">w roku szkolnym 2016/2017 promocji do klasy II i od 1 września 2017 r. </w:t>
      </w:r>
      <w:r>
        <w:t>kontynuują naukę w klasie VII szkoły podstawowej, muszą uzyskać nowe orzeczenia.</w:t>
      </w:r>
    </w:p>
    <w:p w:rsidR="00BE03D6" w:rsidP="00B6127F">
      <w:pPr>
        <w:pStyle w:val="menfont"/>
        <w:spacing w:after="120" w:line="23" w:lineRule="atLeast"/>
        <w:jc w:val="both"/>
      </w:pPr>
      <w:r>
        <w:t xml:space="preserve">Dziękuję Państwu za dotychczasowe działania i liczę na dalsze wsparcie we wdrażaniu zmian w organizacji kształcenia uczniów ze specjalnymi potrzebami edukacyjnymi. </w:t>
      </w:r>
    </w:p>
    <w:p w:rsidR="00DB6831" w:rsidP="00CE2456">
      <w:pPr>
        <w:pStyle w:val="menfont"/>
        <w:spacing w:after="120" w:line="23" w:lineRule="atLeast"/>
        <w:rPr>
          <w:i/>
        </w:rPr>
      </w:pPr>
      <w:r w:rsidRPr="00050F54">
        <w:rPr>
          <w:i/>
        </w:rPr>
        <w:t>Z wyrazami szacunku</w:t>
      </w:r>
    </w:p>
    <w:p w:rsidR="00DB6831" w:rsidP="00CE2456">
      <w:pPr>
        <w:pStyle w:val="menfont"/>
        <w:spacing w:after="120" w:line="23" w:lineRule="atLeast"/>
        <w:rPr>
          <w:i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214630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P="00AC1A57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</w:t>
                            </w:r>
                            <w:r w:rsidR="003B51C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</w:t>
                            </w:r>
                            <w:r w:rsidRPr="00AC1A57" w:rsidR="00AC1A57">
                              <w:t xml:space="preserve"> </w:t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-2.9pt;margin-top:16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CA1B70" w:rsidRPr="006C626F" w:rsidP="00AC1A57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</w:t>
                      </w:r>
                      <w:r w:rsidR="003B51C8">
                        <w:rPr>
                          <w:rFonts w:ascii="Times New Roman" w:hAnsi="Times New Roman" w:cs="Times New Roman"/>
                          <w:sz w:val="22"/>
                        </w:rPr>
                        <w:t>e</w:t>
                      </w:r>
                      <w:r w:rsidRPr="00AC1A57" w:rsidR="00AC1A57">
                        <w:t xml:space="preserve"> </w:t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6831" w:rsidP="00CE2456">
      <w:pPr>
        <w:pStyle w:val="menfont"/>
        <w:spacing w:after="120" w:line="23" w:lineRule="atLeast"/>
        <w:rPr>
          <w:i/>
        </w:rPr>
      </w:pPr>
    </w:p>
    <w:p w:rsidR="00DB6831" w:rsidP="00CE2456">
      <w:pPr>
        <w:pStyle w:val="menfont"/>
        <w:spacing w:after="120" w:line="23" w:lineRule="atLeast"/>
        <w:rPr>
          <w:i/>
        </w:rPr>
      </w:pPr>
    </w:p>
    <w:p w:rsidR="00DB6831" w:rsidP="00CE2456">
      <w:pPr>
        <w:pStyle w:val="menfont"/>
        <w:spacing w:after="120" w:line="23" w:lineRule="atLeast"/>
        <w:rPr>
          <w:i/>
        </w:rPr>
      </w:pPr>
    </w:p>
    <w:p w:rsidR="00DB6831" w:rsidP="00CE2456">
      <w:pPr>
        <w:pStyle w:val="menfont"/>
        <w:spacing w:after="120" w:line="23" w:lineRule="atLeast"/>
      </w:pPr>
    </w:p>
    <w:sectPr w:rsidSect="00785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4CD4">
      <w:r>
        <w:separator/>
      </w:r>
    </w:p>
  </w:footnote>
  <w:footnote w:type="continuationSeparator" w:id="1">
    <w:p w:rsidR="008C4CD4">
      <w:r>
        <w:continuationSeparator/>
      </w:r>
    </w:p>
  </w:footnote>
  <w:footnote w:id="2">
    <w:p w:rsidR="00AC1A57" w:rsidP="00AC1A5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§ 6 ust. 1 pkt 8 rozporządzenia Ministra Edukacji Narodowej z dnia 9 sierpnia 2017 r. </w:t>
      </w:r>
      <w:r>
        <w:br/>
        <w:t>w sprawie warunków organizowania kształcenia, wychowania i opieki dla dzieci i młodzieży niepełnosprawnych, niedostosowanych społecznie i zagrożonych niedostosowaniem społecznym (Dz. U. poz. 1578).</w:t>
      </w:r>
    </w:p>
  </w:footnote>
  <w:footnote w:id="3">
    <w:p w:rsidR="00F93B6D" w:rsidRPr="001E5638" w:rsidP="00C822C6">
      <w:pPr>
        <w:jc w:val="both"/>
        <w:rPr>
          <w:sz w:val="20"/>
          <w:szCs w:val="20"/>
        </w:rPr>
      </w:pPr>
      <w:r w:rsidRPr="00050F54">
        <w:rPr>
          <w:rStyle w:val="FootnoteReference"/>
          <w:sz w:val="20"/>
          <w:szCs w:val="20"/>
        </w:rPr>
        <w:footnoteRef/>
      </w:r>
      <w:r w:rsidRPr="00050F54">
        <w:rPr>
          <w:sz w:val="20"/>
          <w:szCs w:val="20"/>
        </w:rPr>
        <w:t xml:space="preserve"> § 12 </w:t>
      </w:r>
      <w:r w:rsidR="00C822C6">
        <w:rPr>
          <w:sz w:val="20"/>
          <w:szCs w:val="20"/>
        </w:rPr>
        <w:t>r</w:t>
      </w:r>
      <w:r w:rsidRPr="00050F54" w:rsidR="00050F54">
        <w:rPr>
          <w:sz w:val="20"/>
          <w:szCs w:val="20"/>
        </w:rPr>
        <w:t>ozporządzeni</w:t>
      </w:r>
      <w:r w:rsidR="00C822C6">
        <w:rPr>
          <w:sz w:val="20"/>
          <w:szCs w:val="20"/>
        </w:rPr>
        <w:t>a</w:t>
      </w:r>
      <w:r w:rsidRPr="00050F54" w:rsidR="00050F54">
        <w:rPr>
          <w:sz w:val="20"/>
          <w:szCs w:val="20"/>
        </w:rPr>
        <w:t xml:space="preserve"> Ministra Edukacji Narodowej z dnia 9 sierpnia 2017 r. w sprawie zasad organizacji i udzielania pomocy psychologiczno-pedagogicznej w publicznych przedszkolach, szkołach i placówkach (Dz. U. poz. 1591).</w:t>
      </w:r>
    </w:p>
  </w:footnote>
  <w:footnote w:id="4">
    <w:p w:rsidR="001E5638" w:rsidP="00C82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50F54" w:rsidR="00C822C6">
        <w:t>§</w:t>
      </w:r>
      <w:r w:rsidR="00C822C6">
        <w:t xml:space="preserve"> 5 r</w:t>
      </w:r>
      <w:r w:rsidRPr="00C822C6" w:rsidR="00C822C6">
        <w:t>ozporządzeni</w:t>
      </w:r>
      <w:r w:rsidR="00C822C6">
        <w:t>a</w:t>
      </w:r>
      <w:r w:rsidRPr="00C822C6" w:rsidR="00C822C6">
        <w:t xml:space="preserve"> Ministra Edukacji Narodowej z dnia 9 sierpnia 2017 r. w sprawie indywidualnego obowiązkowego rocznego przygotowania przedszkolnego dzieci </w:t>
      </w:r>
      <w:r w:rsidR="00C822C6">
        <w:br/>
      </w:r>
      <w:r w:rsidRPr="00C822C6" w:rsidR="00C822C6">
        <w:t>i indywidualnego nauczania dzieci i młodzieży (Dz. U. poz. 1616).</w:t>
      </w:r>
    </w:p>
  </w:footnote>
  <w:footnote w:id="5">
    <w:p w:rsidR="00392896" w:rsidP="0039289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Calibri"/>
          <w:sz w:val="18"/>
          <w:szCs w:val="18"/>
        </w:rPr>
        <w:t>Dz. U. z 2017 r. poz. 60 i 949.</w:t>
      </w:r>
    </w:p>
  </w:footnote>
  <w:footnote w:id="6">
    <w:p w:rsidR="00392896" w:rsidP="0039289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Art. 312 ust. 2 ustawy z dnia 14 grudnia 2016 r. – Przepisy wprowadzające ustawę – Prawo oświatowe.</w:t>
      </w:r>
    </w:p>
  </w:footnote>
  <w:footnote w:id="7">
    <w:p w:rsidR="00392896" w:rsidP="0039289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§ 9 ust. 1 i 2 rozporządzenia Ministra Edukacji Narodowej z dnia 18 września 2008 r. w sprawie orzeczeń i opinii wydawanych przez zespoły orzekające działające w publicznych poradniach psychologiczno-pedagogicznych (Dz. U. poz. 1072).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A629B"/>
    <w:multiLevelType w:val="hybridMultilevel"/>
    <w:tmpl w:val="D548BB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559"/>
    <w:multiLevelType w:val="hybridMultilevel"/>
    <w:tmpl w:val="07C2EB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351"/>
    <w:multiLevelType w:val="hybridMultilevel"/>
    <w:tmpl w:val="0A085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F7504"/>
    <w:multiLevelType w:val="hybridMultilevel"/>
    <w:tmpl w:val="F4EEE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0774"/>
    <w:multiLevelType w:val="hybridMultilevel"/>
    <w:tmpl w:val="DEC27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0"/>
  <w:drawingGridHorizontalSpacing w:val="12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"/>
  </w:style>
  <w:style w:type="character" w:customStyle="1" w:styleId="NagwekZnak">
    <w:name w:val="Nagłówek Znak"/>
    <w:link w:val="Header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BalloonText">
    <w:name w:val="Balloon Text"/>
    <w:basedOn w:val="Normal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C315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semiHidden/>
    <w:unhideWhenUsed/>
    <w:rsid w:val="00AC1A57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AC1A57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AC1A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8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405C"/>
    <w:rPr>
      <w:sz w:val="16"/>
      <w:szCs w:val="16"/>
    </w:rPr>
  </w:style>
  <w:style w:type="paragraph" w:styleId="CommentText">
    <w:name w:val="annotation text"/>
    <w:basedOn w:val="Normal"/>
    <w:link w:val="TekstkomentarzaZnak"/>
    <w:semiHidden/>
    <w:unhideWhenUsed/>
    <w:rsid w:val="004D405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semiHidden/>
    <w:rsid w:val="004D405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4D405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4D405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C1A7-738D-4F8F-B38E-7C7FCFF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Maryjanowska Helena</cp:lastModifiedBy>
  <cp:revision>29</cp:revision>
  <cp:lastPrinted>2010-07-05T20:25:00Z</cp:lastPrinted>
  <dcterms:created xsi:type="dcterms:W3CDTF">2016-03-11T12:16:00Z</dcterms:created>
  <dcterms:modified xsi:type="dcterms:W3CDTF">2017-10-05T13:34:00Z</dcterms:modified>
</cp:coreProperties>
</file>